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幼圆" w:eastAsia="幼圆"/>
          <w:b/>
          <w:color w:val="000000"/>
        </w:rPr>
      </w:pPr>
    </w:p>
    <w:p>
      <w:pPr>
        <w:rPr>
          <w:rFonts w:ascii="微软雅黑" w:hAnsi="微软雅黑" w:eastAsia="微软雅黑"/>
          <w:b/>
          <w:color w:val="000000"/>
          <w:sz w:val="180"/>
        </w:rPr>
      </w:pPr>
      <w:r>
        <w:rPr>
          <w:rFonts w:ascii="幼圆" w:eastAsia="幼圆"/>
          <w:b/>
          <w:color w:val="000000"/>
        </w:rPr>
        <w:t xml:space="preserve">         </w:t>
      </w:r>
      <w:r>
        <w:rPr>
          <w:rFonts w:hint="eastAsia" w:ascii="幼圆" w:eastAsia="幼圆"/>
          <w:b/>
          <w:color w:val="000000"/>
          <w:sz w:val="44"/>
          <w:szCs w:val="44"/>
        </w:rPr>
        <w:t>移动互联网时代的销售之道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开课时间</w:t>
      </w:r>
      <w:r>
        <w:rPr>
          <w:rFonts w:ascii="微软雅黑" w:hAnsi="微软雅黑" w:eastAsia="微软雅黑"/>
          <w:b/>
          <w:color w:val="FF0000"/>
        </w:rPr>
        <w:t xml:space="preserve">:  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      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7月18-19日合肥    7月25-26日 西安  8月1-2日 武汉     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8月15-16日 贵阳   8</w:t>
      </w:r>
      <w:r>
        <w:rPr>
          <w:rFonts w:hint="eastAsia" w:ascii="微软雅黑" w:hAnsi="微软雅黑" w:eastAsia="微软雅黑"/>
          <w:color w:val="000000"/>
        </w:rPr>
        <w:t>月</w:t>
      </w:r>
      <w:r>
        <w:rPr>
          <w:rFonts w:hint="eastAsia" w:ascii="微软雅黑" w:hAnsi="微软雅黑" w:eastAsia="微软雅黑"/>
          <w:color w:val="000000"/>
          <w:lang w:val="en-US" w:eastAsia="zh-CN"/>
        </w:rPr>
        <w:t>22-23</w:t>
      </w:r>
      <w:r>
        <w:rPr>
          <w:rFonts w:hint="eastAsia" w:ascii="微软雅黑" w:hAnsi="微软雅黑" w:eastAsia="微软雅黑"/>
          <w:color w:val="000000"/>
        </w:rPr>
        <w:t>日</w:t>
      </w:r>
      <w:r>
        <w:rPr>
          <w:rFonts w:ascii="微软雅黑" w:hAnsi="微软雅黑" w:eastAsia="微软雅黑"/>
          <w:color w:val="000000"/>
        </w:rPr>
        <w:t xml:space="preserve"> </w:t>
      </w:r>
      <w:r>
        <w:rPr>
          <w:rFonts w:hint="eastAsia" w:ascii="微软雅黑" w:hAnsi="微软雅黑" w:eastAsia="微软雅黑"/>
          <w:color w:val="000000"/>
          <w:lang w:eastAsia="zh-CN"/>
        </w:rPr>
        <w:t>福州</w:t>
      </w:r>
      <w:r>
        <w:rPr>
          <w:rFonts w:ascii="微软雅黑" w:hAnsi="微软雅黑" w:eastAsia="微软雅黑"/>
          <w:color w:val="000000"/>
        </w:rPr>
        <w:t xml:space="preserve"> 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8月29-30日</w:t>
      </w:r>
      <w:r>
        <w:rPr>
          <w:rFonts w:ascii="微软雅黑" w:hAnsi="微软雅黑" w:eastAsia="微软雅黑"/>
          <w:color w:val="000000"/>
        </w:rPr>
        <w:t xml:space="preserve"> </w:t>
      </w:r>
      <w:r>
        <w:rPr>
          <w:rFonts w:hint="eastAsia" w:ascii="微软雅黑" w:hAnsi="微软雅黑" w:eastAsia="微软雅黑"/>
          <w:color w:val="000000"/>
          <w:lang w:eastAsia="zh-CN"/>
        </w:rPr>
        <w:t>成都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</w:t>
      </w:r>
    </w:p>
    <w:p>
      <w:pPr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>9月5-6日 嘉兴     9月15~16日 烟台 9月19~20日上海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学习投资</w:t>
      </w:r>
      <w:r>
        <w:rPr>
          <w:rFonts w:ascii="微软雅黑" w:hAnsi="微软雅黑" w:eastAsia="微软雅黑"/>
          <w:b/>
          <w:color w:val="FF0000"/>
        </w:rPr>
        <w:t>:</w:t>
      </w:r>
      <w:r>
        <w:rPr>
          <w:rFonts w:ascii="微软雅黑" w:hAnsi="微软雅黑" w:eastAsia="微软雅黑"/>
          <w:color w:val="000000"/>
        </w:rPr>
        <w:t>2800</w:t>
      </w:r>
      <w:r>
        <w:rPr>
          <w:rFonts w:hint="eastAsia" w:ascii="微软雅黑" w:hAnsi="微软雅黑" w:eastAsia="微软雅黑"/>
          <w:color w:val="000000"/>
        </w:rPr>
        <w:t>元</w:t>
      </w:r>
      <w:r>
        <w:rPr>
          <w:rFonts w:ascii="微软雅黑" w:hAnsi="微软雅黑" w:eastAsia="微软雅黑"/>
          <w:color w:val="000000"/>
        </w:rPr>
        <w:t>/</w:t>
      </w:r>
      <w:r>
        <w:rPr>
          <w:rFonts w:hint="eastAsia" w:ascii="微软雅黑" w:hAnsi="微软雅黑" w:eastAsia="微软雅黑"/>
          <w:color w:val="000000"/>
        </w:rPr>
        <w:t>人</w:t>
      </w:r>
      <w:r>
        <w:rPr>
          <w:rFonts w:ascii="微软雅黑" w:hAnsi="微软雅黑" w:eastAsia="微软雅黑"/>
          <w:color w:val="000000"/>
        </w:rPr>
        <w:t>(</w:t>
      </w:r>
      <w:r>
        <w:rPr>
          <w:rFonts w:hint="eastAsia" w:ascii="微软雅黑" w:hAnsi="微软雅黑" w:eastAsia="微软雅黑"/>
          <w:color w:val="000000"/>
        </w:rPr>
        <w:t>包括培训、培训教材、场地费等</w:t>
      </w:r>
      <w:r>
        <w:rPr>
          <w:rFonts w:ascii="微软雅黑" w:hAnsi="微软雅黑" w:eastAsia="微软雅黑"/>
          <w:color w:val="000000"/>
        </w:rPr>
        <w:t xml:space="preserve">) </w:t>
      </w:r>
    </w:p>
    <w:p>
      <w:pPr>
        <w:rPr>
          <w:rFonts w:hint="eastAsia" w:ascii="微软雅黑" w:hAnsi="微软雅黑" w:eastAsia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010-52571508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/>
        </w:rPr>
        <w:t>企业全体营销人员</w:t>
      </w:r>
    </w:p>
    <w:p>
      <w:pPr>
        <w:ind w:firstLine="31680" w:firstLineChars="3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随着移动互联网浪潮的发展，企业的营销工作受到了很大的影响，在营销界甚至有这样一句话，叫互联网之下，企业的营销已死。这句话虽然说得有点危言耸听，但也确实反映了移动互联网对传统营销工作的冲击。而做为营销工作中非常重要的组成部分，销售也未能幸免于难。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　　可惜的是，面对这样的互联网浪潮的冲击，大量的销售人员并没有做好准备，甚至有的人内心对抗。有句话说得好，消来敌人最好的办法是化敌为友。因此，做为销售人员，与其抱怨不如改变。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　　移动互联网对企业的销售工作究竟带来了哪些影响？客户在这样的时代之下，他们的消费行为又发生了哪些变化？我们的销售人员又该如何应对这样的变化？如何才能更好地驾御互联网，让互联网为我们销售所用？如何让客户更加愿意在你这里购买，而不是回头又去网上找答案了？这一切，尽在《移动互联时代下的销售之道》！</w:t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【课程大纲】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单元一：移动互联时代下的销售特征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移动互联时代，消费者购买行为发生的改变。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面对消费行为改变，销售人员应做好准备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移动互联时代，客户的购买阶段分析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》预购阶段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》现场阶段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》决策阶段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》购买阶段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》分享阶段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单元二：客户预购阶段的销售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客户预购阶段的主要关注点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客户如何通过互联网完成预购阶段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销售人员在客户预购阶段的信息推送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》推送途径的选择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》推送内容的选择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销售人员如何建立未见面关系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案例分析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单元三：客户现场阶段的销售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客户现场阶段的主要关注点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互联网对客户现场购买的影响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销售人员如何建立现场信任关系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现场阶段销售人员如何探寻客户需求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》问问题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》问出更好的问题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》需求背后的需求才是真正的需求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销售人员需要和客户共同面对互联网事实影响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>真知灼见：销售人员的解决方案呈现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>欲擒故纵：运用互联网而非抵抗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</w:rPr>
        <w:t>案例分析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单元四：客户决策阶段的销售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客户决策阶段的主要关注点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互联网信息对于客户购买决策的影响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销售人员与客户之间的即时信息互动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找到客户决策的标准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为客户提供不可替代的价值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>把握客户的购买周期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>案例分析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单元五：客户购买阶段的销售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客户购买阶段的主要关注点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消除购买风险，解决客户后顾之忧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不要陷入价格的泥沼中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成交，需要让客户落锤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把选择权交给客户，把控制权留给自己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>如何拿到最好的价格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>案例分析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单元六：客户分享阶段的销售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客户分享阶段的主要关注点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客户的移动互联网分享模式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客户的互联网分享对销售的价值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销售人员借助移动互联网为客户提供服务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怎样获得好的转介绍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>客户的交叉销售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>案例分析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单元七：课程总结与实际案例分析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销售人员该做出怎样切实的改变？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》态度角度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》知识角度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》技能角度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移动互联时代下的实战销售案例分析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移动互联时代的专业化销售职业精神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讲师介绍：杨虎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金牌销售行为训练专家，结构化销售系统推动者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经理人结构化思维训练高级培训师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国际职业训练协会认证高级职业培训师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剑桥大学</w:t>
      </w:r>
      <w:r>
        <w:rPr>
          <w:rFonts w:ascii="微软雅黑" w:hAnsi="微软雅黑" w:eastAsia="微软雅黑"/>
          <w:szCs w:val="21"/>
        </w:rPr>
        <w:t>CIE</w:t>
      </w:r>
      <w:r>
        <w:rPr>
          <w:rFonts w:hint="eastAsia" w:ascii="微软雅黑" w:hAnsi="微软雅黑" w:eastAsia="微软雅黑"/>
          <w:szCs w:val="21"/>
        </w:rPr>
        <w:t>认证高级人力资源管理师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松下成长学院特聘高级培训师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正略钧策咨询集团特聘高级讲师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北京汉林时代、上海海纳川等多家机构特聘讲师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培训经理网、中华讲师网认证专家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培训人社区、中国人力资源管理网、世界经理人网专栏作者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杨虎老师专注于销售领域和结构化思维的研究和教学。自</w:t>
      </w:r>
      <w:r>
        <w:rPr>
          <w:rFonts w:ascii="微软雅黑" w:hAnsi="微软雅黑" w:eastAsia="微软雅黑"/>
          <w:szCs w:val="21"/>
        </w:rPr>
        <w:t>2004</w:t>
      </w:r>
      <w:r>
        <w:rPr>
          <w:rFonts w:hint="eastAsia" w:ascii="微软雅黑" w:hAnsi="微软雅黑" w:eastAsia="微软雅黑"/>
          <w:szCs w:val="21"/>
        </w:rPr>
        <w:t>年首次登台授课以来，累计授课已达</w:t>
      </w:r>
      <w:r>
        <w:rPr>
          <w:rFonts w:ascii="微软雅黑" w:hAnsi="微软雅黑" w:eastAsia="微软雅黑"/>
          <w:szCs w:val="21"/>
        </w:rPr>
        <w:t>1000</w:t>
      </w:r>
      <w:r>
        <w:rPr>
          <w:rFonts w:hint="eastAsia" w:ascii="微软雅黑" w:hAnsi="微软雅黑" w:eastAsia="微软雅黑"/>
          <w:szCs w:val="21"/>
        </w:rPr>
        <w:t>多场。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杨虎老师出身一线，从企业基层员工做起，历任企业的部门主管、销售经理、培训总监、营销总监、运营副总，并有过两次个人创业经历。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杨虎老师的培训课程追求理论与实战的双向结合，注重学员参与、感受与收获；授课风格严谨科学而又不失幽默，务实高效而又充满激情，深受参训学员及企业的高度好评，被学员和企业誉为最具卓越精神的培训师。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ascii="幼圆" w:eastAsia="幼圆"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Line 2" o:spid="_x0000_s1026" style="position:absolute;left:0;margin-left:0pt;margin-top:1.25pt;height:0.05pt;width:486pt;rotation:0f;z-index:251658240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幼圆" w:eastAsia="幼圆"/>
          <w:b/>
          <w:color w:val="000000"/>
        </w:rPr>
        <w:t>请将报名表，以传真、电子邮件方式提交，并及时确认。</w:t>
      </w:r>
      <w:r>
        <w:rPr>
          <w:rFonts w:ascii="幼圆" w:eastAsia="幼圆"/>
          <w:b/>
          <w:color w:val="000000"/>
        </w:rPr>
        <w:t xml:space="preserve">     </w:t>
      </w:r>
      <w:r>
        <w:rPr>
          <w:rFonts w:hint="eastAsia" w:ascii="幼圆" w:eastAsia="幼圆"/>
          <w:b/>
          <w:color w:val="000000"/>
        </w:rPr>
        <w:t>传真</w:t>
      </w:r>
      <w:r>
        <w:rPr>
          <w:rFonts w:ascii="幼圆" w:eastAsia="幼圆"/>
          <w:b/>
          <w:color w:val="000000"/>
        </w:rPr>
        <w:t>:</w:t>
      </w:r>
      <w:r>
        <w:rPr>
          <w:rFonts w:hint="eastAsia" w:ascii="幼圆" w:eastAsia="幼圆"/>
          <w:b/>
          <w:color w:val="000000"/>
          <w:lang w:val="en-US" w:eastAsia="zh-CN"/>
        </w:rPr>
        <w:t>010-52571508</w:t>
      </w:r>
    </w:p>
    <w:tbl>
      <w:tblPr>
        <w:tblStyle w:val="6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联系人</w:t>
            </w:r>
          </w:p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/>
                <w:b/>
                <w:color w:val="000000"/>
              </w:rPr>
              <w:t>E-MAIL</w:t>
            </w:r>
            <w:r>
              <w:rPr>
                <w:rFonts w:hint="eastAsia" w:ascii="幼圆" w:eastAsia="幼圆"/>
                <w:b/>
                <w:color w:val="000000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姓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性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职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电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手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邮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hint="eastAsia"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汇款方式：参会单位报名后请将参会款项汇至如下指定账号，发票在报到时领取。</w:t>
            </w:r>
          </w:p>
          <w:p>
            <w:pPr>
              <w:rPr>
                <w:rFonts w:hint="eastAsia"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 xml:space="preserve">户   名：中企联会（北京）企业管理中心    </w:t>
            </w:r>
          </w:p>
          <w:p>
            <w:pPr>
              <w:rPr>
                <w:rFonts w:hint="eastAsia"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 xml:space="preserve">开 户 行：中国工商银行北京市翠微路支行  </w:t>
            </w:r>
          </w:p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账    号：02000 8090 92000 78149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/>
                <w:b/>
                <w:color w:val="000000"/>
              </w:rPr>
              <w:t xml:space="preserve">    </w:t>
            </w:r>
            <w:r>
              <w:rPr>
                <w:rFonts w:hint="eastAsia" w:ascii="幼圆" w:eastAsia="幼圆"/>
                <w:b/>
                <w:color w:val="000000"/>
              </w:rPr>
              <w:t>抬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头：（</w:t>
            </w:r>
            <w:r>
              <w:rPr>
                <w:rFonts w:ascii="幼圆" w:eastAsia="幼圆"/>
                <w:b/>
                <w:color w:val="000000"/>
              </w:rPr>
              <w:t xml:space="preserve">                                                    </w:t>
            </w:r>
            <w:r>
              <w:rPr>
                <w:rFonts w:hint="eastAsia" w:ascii="幼圆" w:eastAsia="幼圆"/>
                <w:b/>
                <w:color w:val="00000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□是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□否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数量及要求：（</w:t>
            </w:r>
            <w:r>
              <w:rPr>
                <w:rFonts w:ascii="幼圆" w:eastAsia="幼圆"/>
                <w:b/>
                <w:color w:val="000000"/>
              </w:rPr>
              <w:t xml:space="preserve">                                                         </w:t>
            </w:r>
            <w:r>
              <w:rPr>
                <w:rFonts w:hint="eastAsia" w:ascii="幼圆" w:eastAsia="幼圆"/>
                <w:b/>
                <w:color w:val="00000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□是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□否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数量及要求：（</w:t>
            </w:r>
            <w:r>
              <w:rPr>
                <w:rFonts w:ascii="幼圆" w:eastAsia="幼圆"/>
                <w:b/>
                <w:color w:val="000000"/>
              </w:rPr>
              <w:t xml:space="preserve">                                                          </w:t>
            </w:r>
            <w:r>
              <w:rPr>
                <w:rFonts w:hint="eastAsia" w:ascii="幼圆" w:eastAsia="幼圆"/>
                <w:b/>
                <w:color w:val="000000"/>
              </w:rPr>
              <w:t>）</w:t>
            </w:r>
          </w:p>
        </w:tc>
      </w:tr>
    </w:tbl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幼圆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6" w:space="3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D59D1"/>
    <w:rsid w:val="00075573"/>
    <w:rsid w:val="00077051"/>
    <w:rsid w:val="000F024A"/>
    <w:rsid w:val="001407C6"/>
    <w:rsid w:val="001B06E7"/>
    <w:rsid w:val="00291AED"/>
    <w:rsid w:val="00306C86"/>
    <w:rsid w:val="00347664"/>
    <w:rsid w:val="0049141F"/>
    <w:rsid w:val="004B367D"/>
    <w:rsid w:val="00515EC6"/>
    <w:rsid w:val="006176C2"/>
    <w:rsid w:val="006772D9"/>
    <w:rsid w:val="006826EA"/>
    <w:rsid w:val="006D59D1"/>
    <w:rsid w:val="00767B06"/>
    <w:rsid w:val="0078666C"/>
    <w:rsid w:val="007A3D58"/>
    <w:rsid w:val="008A43EB"/>
    <w:rsid w:val="009A7147"/>
    <w:rsid w:val="00A868D8"/>
    <w:rsid w:val="00AE39C6"/>
    <w:rsid w:val="00BC2526"/>
    <w:rsid w:val="00E636BB"/>
    <w:rsid w:val="00F50401"/>
    <w:rsid w:val="00FD6A11"/>
    <w:rsid w:val="077914A9"/>
    <w:rsid w:val="14340C64"/>
    <w:rsid w:val="162A486A"/>
    <w:rsid w:val="1C3A5435"/>
    <w:rsid w:val="32D725C6"/>
    <w:rsid w:val="33D226C7"/>
    <w:rsid w:val="39674993"/>
    <w:rsid w:val="3FF21B49"/>
    <w:rsid w:val="4604196F"/>
    <w:rsid w:val="47997807"/>
    <w:rsid w:val="48793F4C"/>
    <w:rsid w:val="55D05E8D"/>
    <w:rsid w:val="676F355A"/>
    <w:rsid w:val="740706C2"/>
    <w:rsid w:val="744F49DD"/>
    <w:rsid w:val="79EF0A7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8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351</Words>
  <Characters>2002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2015-01-08T02:57:00Z</dcterms:created>
  <dc:creator>AutoBVT</dc:creator>
  <cp:lastModifiedBy>Administrator</cp:lastModifiedBy>
  <dcterms:modified xsi:type="dcterms:W3CDTF">2015-07-20T04:03:54Z</dcterms:modified>
  <dc:title>军令如山-高效执行力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