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450" w:lineRule="atLeast"/>
        <w:jc w:val="center"/>
        <w:outlineLvl w:val="0"/>
        <w:rPr>
          <w:rFonts w:ascii="宋体" w:cs="宋体"/>
          <w:b/>
          <w:bCs/>
          <w:color w:val="000000"/>
          <w:kern w:val="36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kern w:val="36"/>
          <w:sz w:val="52"/>
          <w:szCs w:val="52"/>
        </w:rPr>
        <w:t>非财务经理的财务管理</w:t>
      </w:r>
    </w:p>
    <w:p>
      <w:pPr>
        <w:spacing w:line="40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开课时间</w:t>
      </w:r>
      <w:r>
        <w:rPr>
          <w:rFonts w:ascii="微软雅黑" w:hAnsi="微软雅黑" w:eastAsia="微软雅黑"/>
          <w:color w:val="FF0000"/>
          <w:szCs w:val="21"/>
        </w:rPr>
        <w:t xml:space="preserve">:  </w:t>
      </w: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ascii="微软雅黑" w:hAnsi="微软雅黑" w:eastAsia="微软雅黑"/>
          <w:szCs w:val="21"/>
        </w:rPr>
        <w:t>25-26</w:t>
      </w:r>
      <w:r>
        <w:rPr>
          <w:rFonts w:hint="eastAsia" w:ascii="微软雅黑" w:hAnsi="微软雅黑" w:eastAsia="微软雅黑"/>
          <w:szCs w:val="21"/>
        </w:rPr>
        <w:t>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深圳</w:t>
      </w:r>
      <w:r>
        <w:rPr>
          <w:rFonts w:ascii="微软雅黑" w:hAnsi="微软雅黑" w:eastAsia="微软雅黑"/>
          <w:szCs w:val="21"/>
        </w:rPr>
        <w:t xml:space="preserve">   </w:t>
      </w:r>
    </w:p>
    <w:p>
      <w:pPr>
        <w:spacing w:line="400" w:lineRule="atLeast"/>
        <w:ind w:firstLine="31680" w:firstLineChars="5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ascii="微软雅黑" w:hAnsi="微软雅黑" w:eastAsia="微软雅黑"/>
          <w:szCs w:val="21"/>
        </w:rPr>
        <w:t>15-16</w:t>
      </w:r>
      <w:r>
        <w:rPr>
          <w:rFonts w:hint="eastAsia" w:ascii="微软雅黑" w:hAnsi="微软雅黑" w:eastAsia="微软雅黑"/>
          <w:szCs w:val="21"/>
        </w:rPr>
        <w:t>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佛山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spacing w:line="400" w:lineRule="atLeast"/>
        <w:ind w:firstLine="31680" w:firstLineChars="50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11月21-22日 临沂</w:t>
      </w:r>
    </w:p>
    <w:p>
      <w:pPr>
        <w:pStyle w:val="9"/>
        <w:spacing w:line="400" w:lineRule="atLeast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FF0000"/>
        </w:rPr>
        <w:t>学习投资：</w:t>
      </w:r>
      <w:r>
        <w:rPr>
          <w:rFonts w:ascii="微软雅黑" w:hAnsi="微软雅黑" w:eastAsia="微软雅黑" w:cs="Arial"/>
          <w:color w:val="000000"/>
        </w:rPr>
        <w:t>6800</w:t>
      </w:r>
      <w:r>
        <w:rPr>
          <w:rFonts w:hint="eastAsia" w:ascii="微软雅黑" w:hAnsi="微软雅黑" w:eastAsia="微软雅黑" w:cs="Arial"/>
          <w:color w:val="000000"/>
        </w:rPr>
        <w:t>元</w:t>
      </w:r>
      <w:r>
        <w:rPr>
          <w:rFonts w:ascii="微软雅黑" w:hAnsi="微软雅黑" w:eastAsia="微软雅黑" w:cs="Arial"/>
          <w:color w:val="000000"/>
        </w:rPr>
        <w:t>/</w:t>
      </w:r>
      <w:r>
        <w:rPr>
          <w:rFonts w:hint="eastAsia" w:ascii="微软雅黑" w:hAnsi="微软雅黑" w:eastAsia="微软雅黑" w:cs="Arial"/>
          <w:color w:val="000000"/>
        </w:rPr>
        <w:t>人</w:t>
      </w:r>
      <w:r>
        <w:rPr>
          <w:rFonts w:ascii="微软雅黑" w:hAnsi="微软雅黑" w:eastAsia="微软雅黑" w:cs="Arial"/>
          <w:color w:val="000000"/>
        </w:rPr>
        <w:t>(</w:t>
      </w:r>
      <w:r>
        <w:rPr>
          <w:rFonts w:hint="eastAsia" w:ascii="微软雅黑" w:hAnsi="微软雅黑" w:eastAsia="微软雅黑" w:cs="Arial"/>
          <w:color w:val="000000"/>
        </w:rPr>
        <w:t>包括培训、培训教材、场地费等</w:t>
      </w:r>
      <w:r>
        <w:rPr>
          <w:rFonts w:ascii="微软雅黑" w:hAnsi="微软雅黑" w:eastAsia="微软雅黑" w:cs="Arial"/>
          <w:color w:val="000000"/>
        </w:rPr>
        <w:t xml:space="preserve">) </w:t>
      </w:r>
    </w:p>
    <w:p>
      <w:pPr>
        <w:spacing w:line="400" w:lineRule="atLeast"/>
        <w:rPr>
          <w:rFonts w:hint="eastAsia" w:ascii="微软雅黑" w:hAnsi="微软雅黑" w:eastAsia="微软雅黑" w:cs="Arial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咨询电话：</w:t>
      </w:r>
      <w:r>
        <w:rPr>
          <w:rFonts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Arial"/>
          <w:color w:val="000000"/>
          <w:szCs w:val="21"/>
        </w:rPr>
        <w:t>0</w:t>
      </w:r>
      <w:r>
        <w:rPr>
          <w:rFonts w:hint="eastAsia" w:ascii="微软雅黑" w:hAnsi="微软雅黑" w:eastAsia="微软雅黑" w:cs="Arial"/>
          <w:color w:val="000000"/>
          <w:szCs w:val="21"/>
          <w:lang w:val="en-US" w:eastAsia="zh-CN"/>
        </w:rPr>
        <w:t>10-52571508</w:t>
      </w:r>
    </w:p>
    <w:p>
      <w:pPr>
        <w:spacing w:line="400" w:lineRule="atLeast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企业总裁、总经理、财务总监、采购总监、人力资源总监等企业中高层管理者</w:t>
      </w:r>
    </w:p>
    <w:p>
      <w:pPr>
        <w:widowControl/>
        <w:ind w:firstLine="31680" w:firstLineChars="3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海信集团懂财务是</w:t>
      </w:r>
      <w:r>
        <w:fldChar w:fldCharType="begin"/>
      </w:r>
      <w:r>
        <w:instrText xml:space="preserve">HYPERLINK "http://www.cnbm.net.cn/add/manage.asp"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管理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者晋升先决条件、南坡集团要求经理分必须懂得负债率等财务知识、中粮集团要求经理必会三张报表……，企业优秀源于对财务重视，企业平庸源于对财务漠视。其实企业的管理就是</w:t>
      </w:r>
      <w:r>
        <w:fldChar w:fldCharType="begin"/>
      </w:r>
      <w:r>
        <w:instrText xml:space="preserve">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财务管理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（资金为先、利润为果），财务健康与否将直接决定企业长远发展，然而健康的财务仅靠</w:t>
      </w:r>
      <w:r>
        <w:fldChar w:fldCharType="begin"/>
      </w:r>
      <w:r>
        <w:instrText xml:space="preserve">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财务部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门是远远不够的，中高层管理人员自身财务素养与观念却发挥着举足轻重的作用。</w:t>
      </w:r>
    </w:p>
    <w:p>
      <w:pPr>
        <w:spacing w:line="400" w:lineRule="atLeast"/>
        <w:ind w:firstLine="735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本课程着重围绕</w:t>
      </w:r>
      <w:r>
        <w:fldChar w:fldCharType="begin"/>
      </w:r>
      <w:r>
        <w:instrText xml:space="preserve">HYPERLINK "http://www.cnbm.net.cn/add/jingliren.asp"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经理人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为何要懂财务、优秀卓越经理人必需具备哪些财务素养展开，帮助经理人快速掌握财务知识，提升自身职业价值与管理绩效！</w:t>
      </w:r>
      <w:r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>课程收益：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掌握会计语言，读懂</w:t>
      </w:r>
      <w:r>
        <w:fldChar w:fldCharType="begin"/>
      </w:r>
      <w:r>
        <w:instrText xml:space="preserve">HYPERLINK "http://www.cnbm.net.cn/add/baobiao.asp"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财务报告</w:t>
      </w:r>
      <w: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更正财务观念，提升管理绩效与价值产出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有效预测资金缺口，提前化解资金危机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增强</w:t>
      </w:r>
      <w:r>
        <w:fldChar w:fldCharType="begin"/>
      </w:r>
      <w:r>
        <w:instrText xml:space="preserve">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成本控制意识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与分析能力，有效削减运营</w:t>
      </w:r>
      <w:r>
        <w:fldChar w:fldCharType="begin"/>
      </w:r>
      <w:r>
        <w:instrText xml:space="preserve">HYPERLINK "http://www.cnbm.net.cn/add/chengben.asp"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成本</w:t>
      </w:r>
      <w: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懂得</w:t>
      </w:r>
      <w:r>
        <w:fldChar w:fldCharType="begin"/>
      </w:r>
      <w:r>
        <w:instrText xml:space="preserve">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预算编制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流程、技巧及跟踪方法，释放预算价值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运用数字指标体系构建监控与评价模型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系统了解财务运作思维，提升财务共识，降低</w:t>
      </w:r>
      <w:r>
        <w:fldChar w:fldCharType="begin"/>
      </w:r>
      <w:r>
        <w:instrText xml:space="preserve">HYPERLINK "http://www.cnbm.net.cn/add/communication.asp"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沟通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</w:t>
      </w:r>
    </w:p>
    <w:p>
      <w:pPr>
        <w:widowControl/>
        <w:shd w:val="clear" w:color="auto" w:fill="FFFFFF"/>
        <w:spacing w:line="375" w:lineRule="atLeast"/>
        <w:ind w:firstLine="31680" w:firstLineChars="50"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>课程特色：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观念新颖、独特，语言风趣幽默，用非财语言讲授专业财务，通俗易懂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课程中工具、方法和模型是老师十几年实践提炼，完全遵循“易学、实用”之宗旨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宁可会场流泪也不要战场流血，情境现场模拟训练，全面强化和巩固学习效果</w:t>
      </w:r>
    </w:p>
    <w:p>
      <w:pPr>
        <w:spacing w:line="400" w:lineRule="atLeast"/>
        <w:rPr>
          <w:rFonts w:ascii="微软雅黑" w:hAnsi="微软雅黑" w:eastAsia="微软雅黑" w:cs="Arial"/>
          <w:b/>
          <w:color w:val="FF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课程大纲</w:t>
      </w:r>
      <w:r>
        <w:rPr>
          <w:rFonts w:ascii="微软雅黑" w:hAnsi="微软雅黑" w:eastAsia="微软雅黑" w:cs="Arial"/>
          <w:b/>
          <w:color w:val="FF0000"/>
          <w:szCs w:val="21"/>
        </w:rPr>
        <w:t xml:space="preserve"> 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模块一：经理人为何要懂财务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、他山之石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海信长寿的背后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、企业良性发展两大基石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、经理人常见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6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大财务问题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、卓越财务管控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大目标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、企业财商七要素与黄金等式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实战训练：七要素在经营活动中体现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模块二：营运资金管理与优化技术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、案例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车子沦陷的背后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爱多、巨人、顺驰、长虹的启示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企业倒闭的本质到底是什么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、营运资金管控不良八大症状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、资金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C2C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模式及如何突破经营底线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、资金预算编制与缺口预测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资金预算编制方法与步骤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如何有效识别资金缺口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化危为机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----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资金缺口化解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10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大技术手段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、实战训练：资金预算表编制与缺口应用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模块三：企业成本控制、分析与削减实务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、润是设计出来，更是控制出来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经理人必思的两个盈利话题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企业盈利规划工具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—BEP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企业盈利能力改善的五大秘笈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如何找到撬动利润倍增的四种杠杆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、案例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宅急送为何能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个月扭亏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观念之争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钱是赚来的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OR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钱是省来的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宅急送业绩下降利润上升背后的推手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培育正确的健康的企业成本观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、成本控制技术与策略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成本控制的两个前提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成本控制的四大技术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成本控制的五大策略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、成本削减落地方案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—5R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、实战训练：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BEP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模型在盈利规划中应用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模块四：企业有三宝，财富只显三大表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财富密码破译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、经理人读懂报表价值几何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他山之石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麦当劳的伟业始于简单数字分析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企业财务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报表的作用与构成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企业常用的财务分析方法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对标管理在</w:t>
      </w:r>
      <w:r>
        <w:fldChar w:fldCharType="begin"/>
      </w:r>
      <w:r>
        <w:instrText xml:space="preserve">HYPERLINK "http://www.cnbm.net.cn/add/baobiao.asp"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财务报表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经理人必会报表阅读秘笈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—4S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法则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、摸摸自家“家底”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资产负债表阅读与分析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经理人的资产负债价值观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资产负债表结构原理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重要资产项目解读与质量诊断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别让虚幻所蒙敝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重要负债项目解读与构成分析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---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无债真的一身轻吗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重要股东权益解读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有无实力到底看什么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如何透过资产负债表看经营效率、偿债能力与资本实力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、看看企业“面子”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利润表阅读与分析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利润表结构及其原理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有识庐山真面目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弄清利润构成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企业增长形态：肌肉型、脂肪型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OR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癌症型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不是所有增长都是有益的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盈利能力下滑不要小看成本推手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成本结构及比重状况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要诊断更要预测未来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如何透过利润表看企业发展能力和盈利能力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、“日子”过得还好吗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现金流量表阅读与分析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现金流量表结构及其原理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企业造血机器的体检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经营活动现金流量分析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企业输血机器的体检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筹资活动现金流量分析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企业放血机器的体检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fldChar w:fldCharType="begin"/>
      </w:r>
      <w:r>
        <w:instrText xml:space="preserve">HYPERLINK "http://www.cnbm.net.cn/add/financial.asp"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投资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要规模更要质量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如何透过现金流量表看经营绩效品质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、实战训练：三大报表实例解读与分析模型构建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模块五：预则立不预则废</w:t>
      </w:r>
      <w:r>
        <w:rPr>
          <w:rFonts w:ascii="Î¢ÈíÑÅºÚ Western" w:hAnsi="Î¢ÈíÑÅºÚ Western" w:eastAsia="微软雅黑" w:cs="宋体"/>
          <w:b/>
          <w:bCs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预算管理在经营中的应用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、企业为何要导入</w:t>
      </w:r>
      <w:r>
        <w:fldChar w:fldCharType="begin"/>
      </w:r>
      <w:r>
        <w:instrText xml:space="preserve">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全面预算管理</w:t>
      </w:r>
      <w: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他山之石</w:t>
      </w:r>
      <w:r>
        <w:rPr>
          <w:rFonts w:ascii="Î¢ÈíÑÅºÚ Western" w:hAnsi="Î¢ÈíÑÅºÚ Western" w:eastAsia="微软雅黑" w:cs="宋体"/>
          <w:color w:val="000000"/>
          <w:kern w:val="0"/>
          <w:szCs w:val="21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杜邦经久不衰的秘诀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全面预算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帮助企业解决五大问题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全面预算在中西方企业的应用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、全面预算管理成功实施五大基石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如何培育健康积极的预算环境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正确规划预算周期（编制期、执行期、考核期）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全面预算需要做好哪些配套建设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预算组织架构设计与权责划分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全面预算控制制度设计与落地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、全面预算编制程序与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10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步法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全面预算编制六大程序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全面预算编制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10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步法（从战略规划到销售预算、生产预算直到</w:t>
      </w:r>
      <w:r>
        <w:fldChar w:fldCharType="begin"/>
      </w:r>
      <w:r>
        <w:instrText xml:space="preserve">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财务预算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、全面预算执行、分析、控制与调整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部门及职员业绩合同书设计与签订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预算执行效果分析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如何设计预算执行的四级监控体系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预算调整的条件与流程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、全面预算在</w:t>
      </w:r>
      <w:r>
        <w:fldChar w:fldCharType="begin"/>
      </w:r>
      <w:r>
        <w:instrText xml:space="preserve">HYPERLINK "http://www.cnbm.net.cn/add/performance.asp"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绩效管理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6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、实战训练：具体业务预算编制实例</w:t>
      </w:r>
    </w:p>
    <w:p>
      <w:pPr>
        <w:spacing w:line="400" w:lineRule="atLeast"/>
        <w:ind w:firstLine="735"/>
        <w:rPr>
          <w:rFonts w:ascii="微软雅黑" w:hAnsi="微软雅黑" w:eastAsia="微软雅黑" w:cs="Arial"/>
          <w:color w:val="000000"/>
          <w:szCs w:val="21"/>
        </w:rPr>
      </w:pPr>
    </w:p>
    <w:p>
      <w:pPr>
        <w:rPr>
          <w:rStyle w:val="6"/>
          <w:rFonts w:ascii="微软雅黑" w:hAnsi="微软雅黑" w:eastAsia="微软雅黑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讲师介绍：</w:t>
      </w:r>
      <w:r>
        <w:rPr>
          <w:rStyle w:val="6"/>
          <w:rFonts w:hint="eastAsia" w:ascii="微软雅黑" w:hAnsi="微软雅黑" w:eastAsia="微软雅黑"/>
          <w:color w:val="FF0000"/>
          <w:szCs w:val="21"/>
          <w:shd w:val="clear" w:color="auto" w:fill="FFFFFF"/>
        </w:rPr>
        <w:t>曾国庆老师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曾老师，服务于中国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IT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知名企业、东莞民营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50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强之一的高科技企业，先后担任过企业成本部经理、信息部经理、审计部经理、财务部经理、财务总监及财务副总等职务。曾老师结合多年学习和工作实践，总结出企业资金管控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C2C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模式、业绩三环论与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12345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业绩管控模式、企业盈利金三角、企业发展空间论、成本倍减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6R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模型、账款品质管控三道防火墙、存货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656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管控模型……等一套有效的运营管控工具；并提炼出简明易懂的管理理念，如销售至上、收款第一的账款控制理念；库存就是负债、呆滞就是损失</w:t>
      </w:r>
      <w:r>
        <w:fldChar w:fldCharType="begin"/>
      </w:r>
      <w:r>
        <w:instrText xml:space="preserve">HYPERLINK "http://www.cnbm.net.cn/add/cangchu.asp"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库存管理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理念，从而帮助企业形成的健康良性控制文化。曾老师先后帮助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100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多家企业改变理财观念，健全理财系统，企业盈利总体提升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50%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以上、同时利润品质得到显著改善。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专著：搞懂财务增利润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现金流与营运资本管控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全面预算与成本倍减之道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主讲课程：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非财务经理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的财务管理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全面预算管理与绩效管控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企业成本削减技术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        </w:t>
      </w:r>
      <w:r>
        <w:fldChar w:fldCharType="begin"/>
      </w:r>
      <w:r>
        <w:instrText xml:space="preserve">HYPERLINK "http://www.cnbm.net.cn/add/feicaiwu.asp"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总经理的财务管理</w:t>
      </w:r>
      <w: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HYPERLINK "http://www.cnbm.net.cn/add/nbkz.asp"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内部控制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与</w:t>
      </w:r>
      <w:r>
        <w:fldChar w:fldCharType="begin"/>
      </w:r>
      <w:r>
        <w:instrText xml:space="preserve">HYPERLINK "http://www.cnbm.net.cn/add/fengxian.asp"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风险管理</w:t>
      </w:r>
      <w:r>
        <w:fldChar w:fldCharType="end"/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  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财务报表解读与经营分析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决策者的六大财务管控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全面预算与成本控制管理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曾提供培训或咨询的企业（包含但不限于）：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金融：湛江商业银行、工商银行、中国人寿、重庆兴业银行、广州联银担保公司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天津农村商业银行、友邦保险、平安保险……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电力：大渡河水电集团、贵州乌江水电有限公司、浙江电网、四川二滩电力、南玻集团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中广核、粤水电、神华集团……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政府：大足县国资集团公司、濨溪泗门镇政府……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医药：众生药业、泰州精卫医疗、汤臣倍健、三井制药、王老吉股份……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家电：美的家电、格兰仕、华凌冰箱、志高空调……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商超、连锁：中域连锁、家乐福、好孩子连锁……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I  T: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深圳宝德集团、金河田实业、深圳中兴通讯、富士康科技……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地产：深圳长城控股集团、广州凯得集团、四川丰泰集团、置信集团……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美容：梦怡养生、大嘉禾、大腾、诺因美、华梦、优度生物科技……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服装：广州禾泽服饰、香港顶尖服饰、南通富美服饰、佛山哥比兔、南通南明服饰……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HYPERLINK "http://www.cnbm.net.cn/add/wuliu.asp"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物流</w:t>
      </w:r>
      <w: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：新邦物流、广东航运集团……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其它：可口可乐瓶装公司、广州污水治理有限公司、深圳报业集团、李锦记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移动滚石音乐、洛阳中冶集团、裕源鞋厂、汇美控股（香港）、南通大地电器……</w:t>
      </w:r>
    </w:p>
    <w:p>
      <w:pPr>
        <w:spacing w:before="100" w:after="100" w:line="400" w:lineRule="atLeast"/>
        <w:rPr>
          <w:szCs w:val="21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Line 2" o:spid="_x0000_s1026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    </w:t>
      </w:r>
      <w:r>
        <w:rPr>
          <w:rFonts w:hint="eastAsia" w:ascii="宋体" w:hAnsi="宋体"/>
          <w:b/>
          <w:spacing w:val="2"/>
          <w:kern w:val="0"/>
          <w:szCs w:val="21"/>
        </w:rPr>
        <w:t>传真</w:t>
      </w:r>
      <w:r>
        <w:rPr>
          <w:rFonts w:ascii="宋体" w:hAnsi="宋体"/>
          <w:b/>
          <w:spacing w:val="2"/>
          <w:kern w:val="0"/>
          <w:szCs w:val="21"/>
        </w:rPr>
        <w:t>:</w:t>
      </w:r>
      <w:r>
        <w:rPr>
          <w:rFonts w:hint="eastAsia" w:ascii="宋体" w:hAnsi="宋体"/>
          <w:b/>
          <w:spacing w:val="2"/>
          <w:kern w:val="0"/>
          <w:szCs w:val="21"/>
          <w:lang w:val="en-US" w:eastAsia="zh-CN"/>
        </w:rPr>
        <w:t>010-52571508</w:t>
      </w:r>
      <w:r>
        <w:rPr>
          <w:rFonts w:ascii="宋体" w:hAnsi="宋体"/>
          <w:b/>
          <w:spacing w:val="2"/>
          <w:kern w:val="0"/>
          <w:szCs w:val="21"/>
        </w:rPr>
        <w:t xml:space="preserve"> </w:t>
      </w:r>
    </w:p>
    <w:tbl>
      <w:tblPr>
        <w:tblStyle w:val="8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31680" w:firstLineChars="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□汇款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□现金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□支票（限北京）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汇款方式：参会单位报名后请将参会款项汇至如下指定账号，发票在报到时领取。</w:t>
            </w:r>
          </w:p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   名：中企联会（北京）企业管理中心    </w:t>
            </w:r>
          </w:p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 户 行：中国工商银行北京市翠微路支行 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  号：02000 8090 92000 78149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头：（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400" w:lineRule="atLeast"/>
        <w:rPr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Î¢ÈíÑÅºÚ Western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B0053"/>
    <w:rsid w:val="00015009"/>
    <w:rsid w:val="0005369D"/>
    <w:rsid w:val="000A6F03"/>
    <w:rsid w:val="00135E75"/>
    <w:rsid w:val="001F2F82"/>
    <w:rsid w:val="00295008"/>
    <w:rsid w:val="002B0053"/>
    <w:rsid w:val="003369CE"/>
    <w:rsid w:val="003A1B86"/>
    <w:rsid w:val="003A69D4"/>
    <w:rsid w:val="003C7B5F"/>
    <w:rsid w:val="004177CB"/>
    <w:rsid w:val="00452321"/>
    <w:rsid w:val="004C12C4"/>
    <w:rsid w:val="00603742"/>
    <w:rsid w:val="00607802"/>
    <w:rsid w:val="00635901"/>
    <w:rsid w:val="00662DE2"/>
    <w:rsid w:val="00684222"/>
    <w:rsid w:val="006B644E"/>
    <w:rsid w:val="007A0CB3"/>
    <w:rsid w:val="00805D6D"/>
    <w:rsid w:val="008B32A1"/>
    <w:rsid w:val="00914DF9"/>
    <w:rsid w:val="00915393"/>
    <w:rsid w:val="00A0512B"/>
    <w:rsid w:val="00A8146B"/>
    <w:rsid w:val="00AC1137"/>
    <w:rsid w:val="00AC7758"/>
    <w:rsid w:val="00AD2394"/>
    <w:rsid w:val="00B02D55"/>
    <w:rsid w:val="00C15E60"/>
    <w:rsid w:val="00C24D8F"/>
    <w:rsid w:val="00C63E90"/>
    <w:rsid w:val="00CE641A"/>
    <w:rsid w:val="00D437C1"/>
    <w:rsid w:val="00DC4026"/>
    <w:rsid w:val="00E15A1F"/>
    <w:rsid w:val="00ED362E"/>
    <w:rsid w:val="00EE16EB"/>
    <w:rsid w:val="00F82734"/>
    <w:rsid w:val="00F968D9"/>
    <w:rsid w:val="00FE647D"/>
    <w:rsid w:val="062B0EFC"/>
    <w:rsid w:val="32C26AB4"/>
    <w:rsid w:val="429B15B6"/>
    <w:rsid w:val="547873F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uiPriority w:val="99"/>
    <w:rPr>
      <w:rFonts w:cs="Times New Roman"/>
      <w:color w:val="0000FF"/>
      <w:u w:val="single"/>
    </w:rPr>
  </w:style>
  <w:style w:type="paragraph" w:customStyle="1" w:styleId="9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Heading 1 Char"/>
    <w:basedOn w:val="5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5"/>
    <w:uiPriority w:val="99"/>
    <w:rPr>
      <w:rFonts w:cs="Times New Roman"/>
    </w:rPr>
  </w:style>
  <w:style w:type="character" w:customStyle="1" w:styleId="12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747</Words>
  <Characters>4260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2013-08-21T08:11:00Z</dcterms:created>
  <dc:creator>AutoBVT</dc:creator>
  <cp:lastModifiedBy>Administrator</cp:lastModifiedBy>
  <dcterms:modified xsi:type="dcterms:W3CDTF">2015-07-20T03:42:24Z</dcterms:modified>
  <dc:title>非财务经理的财务管理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